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180</w:t>
      </w:r>
    </w:p>
    <w:p>
      <w:r>
        <w:t>Bundesgericht (BGE), 2016-02-19, FR</w:t>
      </w:r>
    </w:p>
    <w:p>
      <w:r>
        <w:rPr>
          <w:b/>
        </w:rPr>
        <w:t xml:space="preserve">Quelle: </w:t>
      </w:r>
      <w:r>
        <w:t>https://mcp.opencaselaw.ch/entscheid/bge_142 III 180</w:t>
      </w:r>
    </w:p>
    <w:p>
      <w:r>
        <w:t>FR: ATF 142 III 180</w:t>
      </w:r>
    </w:p>
    <w:p>
      <w:r>
        <w:t>IT: DTF 142 III 180</w:t>
      </w:r>
    </w:p>
    <w:p>
      <w:pPr>
        <w:pStyle w:val="Heading2"/>
      </w:pPr>
      <w:r>
        <w:t>Regeste</w:t>
      </w:r>
    </w:p>
    <w:p>
      <w:r>
        <w:t>Regeste Art. 27 Abs. 2 lit. a und 29 Abs. 1 lit. c IPRG; Anerkennung einer ausländischen Entscheidung. Die Voraussetzung der gehörigen Vorladung nach Art. 27 Abs. 2 lit. a IPRG betrifft die gehörige und rechtzeitige Zustellung des verfahrenseinleitenden Schriftstücks; es handelt sich um eine Einrede, die der Anerkennungsbeklagte zu erheben und zu beweisen hat. Im Falle eines Abwesenheitsurteils nach Art. 29 Abs. 1 lit. c IPRG wird die Beweislast umgekehrt und die Beweisanforderungen werden verstärkt; es ist am Anerkennungskläger zu beweisen, dass das verfahrenseinleitende Schriftstück dem abwesend gebliebenen Beklagten gehörig und rechtzeitig zugestellt wurde; der Beweis ist durch Urkunden zu führen (E. 3). Anwendung auf ein in den USA ergangenes Abwesenheitsurteil (E. 4).</w:t>
      </w:r>
    </w:p>
    <w:p>
      <w:pPr>
        <w:pStyle w:val="Heading2"/>
      </w:pPr>
      <w:r>
        <w:t>Erwägungen</w:t>
      </w:r>
    </w:p>
    <w:p>
      <w:r>
        <w:rPr>
          <w:b/>
        </w:rPr>
        <w:t>E. 3.1</w:t>
      </w:r>
    </w:p>
    <w:p>
      <w:r>
        <w:t>Comme il n'existe aucune convention ou traité liant la Suisse et les Etats-Unis d'Amérique en matière de reconnaissance et d'exécution des jugements, le jugement étasunien litigieux ne peut être reconnu et exécuté en Suisse qu'aux conditions de l' art. 25 LDIP (RS 291), soit si la compétence des autorités judiciaires ou administratives de l'Etat dans lequel la décision a été rendue était donnée (let. a), si la décision n'est plus susceptible de recours ordinaire ou si BGE 142 III 180 S. 184 elle est définitive (let. b) et s'il n'y a pas de motif de refus au sens de l'art. 27 (let. c).</w:t>
      </w:r>
    </w:p>
    <w:p>
      <w:r>
        <w:rPr>
          <w:b/>
        </w:rPr>
        <w:t>E. 3.2</w:t>
      </w:r>
    </w:p>
    <w:p>
      <w:r>
        <w:t>Selon l' 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l'al. 2,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 ATF 126 III 101 consid. 3b p. 107, ATF 126 III 327 consid. 2b et les arrêts cités). Un jugement étranger peut être incompatible avec l'ordre public suisse non seulement à cause de son contenu, mais également en raison de la procédure dont il est issu ( ATF 126 III 327 consid. 2b; ATF 116 II 625 consid. 4a et les arrêts cités).</w:t>
      </w:r>
    </w:p>
    <w:p>
      <w:r>
        <w:rPr>
          <w:b/>
        </w:rPr>
        <w:t>E. 3.3</w:t>
      </w:r>
    </w:p>
    <w:p>
      <w:r>
        <w:t>Aux termes de l' art. 27 al. 2 let. a LDIP ,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 art. 28 LDIP ). En outre, en vertu de l' art. 29 al. 1 let .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w:t>
      </w:r>
    </w:p>
    <w:p>
      <w:r>
        <w:rPr>
          <w:b/>
        </w:rPr>
        <w:t>E. 3.3.1</w:t>
      </w:r>
    </w:p>
    <w:p>
      <w:r>
        <w:t>La condition que le défendeur ait été "cité régulièrement" ("gehörig geladen") vise la notification de l'acte introductif d'instance BGE 142 III 180 S. 185 (verfahrenseinleitendes Schriftstück), par lequel le défendeur est informé de la procédure ouverte contre lui et de la possibilité de faire valoir ses moyens de défense, comme le précise expressément l' art. 29 al. 1 let . c LDIP (arrêts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Loi sur le droit international privé, Convention de Lugano, 2011, n° 24 ad art. 27 LDIP ; BERNARD DUTOIT, Droit international privé suisse, 4 e éd. 2005, n° 8 ad art. 27 LDIP ; PAUL VOLKEN, in Zürcher Kommentar zum IPRG, 2 e éd. 2004, n os 76 et 77 ad art. 27 LDIP ). Le défendeur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(BUCHER, loc. cit.; VOLKEN, op. cit., n° 77 ad art. 27 LDIP ). La garantie d'une "citation régulière" a pour but d'assurer à chaque partie le droit de ne pas être condamnée sans avoir été mise en mesure de défendre ses intérêts; elle concrétise le droit d'être entendu ( ATF 117 Ib 347 consid. 2b/bb et les arrêts cités). La notification doit être effectuée régulièrement selon le droit de procédure applicable. L' art. 27 al. 2 let. a LDIP entend ainsi refuser la reconnaissance à un jugement étranger rendu dans une procédure menée de manière incorrecte à l'égard du défendeur ( ATF 122 III 439 consid. 4b). En revanche, si le défendeur a été régulièrement informé par l'acte introductif d'instance, le jugement étranger peut être reconnu, même si le défendeur n'a pas participé à la procédure et qu'un jugement par défaut a été rendu (MARKUS, op. cit., n. 1390 p. 369). La notion de notification de l'acte introductif d'instance au sens de l'art. 34 par. 2 de la Convention du 30 octobre 2007 concernant la compétence judiciaire, la reconnaissance et l'exécution des décisions en matière civile et commerciale (RS 0.275.12; ci-après: Convention de Lugano ou CL), norme entrée en vigueur le 1 er janvier 2011, est différente de l'art. 27 ch. 2 aCL (norme en vigueur jusqu'au 31 décembre 2010), comme elle est différente de l' art. 27 al. 2 let. a LDIP : en effet, selon l' art. 34 par. 2 CL , il suffit que le destinataire ait été mis en mesure d'exercer ses droits par une communication offrant BGE 142 III 180 S. 186 des garanties au moins comparables à celles d'une notification régulière, selon le droit de procédure déterminant (arrêt 5A_230/2012 du 23 octobre 2012 consid. 4.1). Le fait que l' art. 34 par. 2 CL n'exige plus, dans le champ d'application de la Convention de Lugano, une notification entièrement conforme aux règles du droit de procédure applicable ne saurait justifier que l'on s'écarte du texte clair de l' art. 27 al. 2 let. a LDIP applicable en dehors de ce champ. Au regard de cette disposition, il ne suffit donc pas que le destinataire ait eu de quelque manière connaissance de l'acte introductif d'instance.</w:t>
      </w:r>
    </w:p>
    <w:p>
      <w:r>
        <w:rPr>
          <w:b/>
        </w:rPr>
        <w:t>E. 3.3.2</w:t>
      </w:r>
    </w:p>
    <w:p>
      <w:r>
        <w:t>La notification du premier acte introductif d'instance est régulière au sens de l' art. 27 al. 2 let. a LDIP si elle est valable au regard des règles applicables dans l'Etat de domicile du destinataire (subsidiairement de sa résidence habituelle). Lorsque celui-ci est domicilié ou établi en Suisse et que l'Etat d'origine est partie à la Convention de La Haye du 15 novembre 1965 relative à la signification et la notification à l'étranger des actes judiciaires et extrajudiciaires en matière civile ou commerciale (CLaH 65; RS 0.274.131), c'est au regard des règles de cette convention qu'il y a lieu de contrôler la validité de la notification (MARKUS, op. cit., n. 1392; BUCHER, op. cit., n° 23 ad art. 27 LDIP ). La Suisse n'accepte pas que les actes judiciaires soient notifiés par la poste au sens de l'art. 10 let. a CLaH 65 ( ATF 135 III 623 consid. 2 et 3; arrêt 5A_544/2007 du 4 février 2008 déjà cité, consid. 3). La LDIP ne dit rien au sujet de la notification des actes ultérieurs de la procédure.</w:t>
      </w:r>
    </w:p>
    <w:p>
      <w:r>
        <w:rPr>
          <w:b/>
        </w:rPr>
        <w:t>E. 3.3.3</w:t>
      </w:r>
    </w:p>
    <w:p>
      <w:r>
        <w:t>Bien que l' art. 27 al. 2 let. a LDIP ne mentionne pas expressément, comme le fait l' art. 29 al. 1 let . c LDIP dans sa version allemande, que la notification doit avoir eu lieu "en temps utile" ("rechtzeitig"), cette exigence, selon la jurisprudence, est comprise dans la notion de régularité de la citation (arrêt 5P.382/2006 du 12 avril 2007 consid. 5.2; cf. BUCHER, op. cit., n° 36 ad art. 27 LDIP ; MARKUS, op. cit., n. 1397 p. 370). Sous l'angle de l'ordre public suisse, le délai fixé au défendeur doit être suffisant pour lui permettre de consulter un conseil et de préparer sa défense devant le tribunal étranger (arrêt 5P.382/2006 du 12 avril 2007 déjà cité, loc. cit.; cf. BUCHER, op. cit., ibidem; DÄPPEN/MABILLARD, in Basler Kommentar, Internationales Privatrecht, 3 e éd. 2013, n° 14 ad art. 27 LDIP ).</w:t>
      </w:r>
    </w:p>
    <w:p>
      <w:r>
        <w:rPr>
          <w:b/>
        </w:rPr>
        <w:t>E. 3.4</w:t>
      </w:r>
    </w:p>
    <w:p>
      <w:r>
        <w:t>Si l' art. 27 al. 2 let. a LDIP institue une exception, que le défendeur à la procédure de reconnaissance et d'exécution doit soulever et prouver ( ATF 116 II 625 consid. 4b; VOLKEN, op. cit., n° 61 ad BGE 142 III 180 S. 187 art. 29 LDIP ), l' art. 29 al. 1 let .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(VOLKEN, op. cit., n os 62 et 63 ad art. 29 LDIP ; DÄPPEN/MABILLARD, op. cit., n° 16 ad art. 29 LDIP ; DUTOIT, op. cit., n° 4 in fine ad art. 29 LDIP ; cf. Message du 10 novembre 1982 concernant une loi fédérale sur le droit international privé, FF 1983 I 255, spéc. 319 et 320). En l'absence de ces titres, la preuve n'est pas rapportée et la reconnaissance doit être refusée (DÄPPEN/MABILLARD, op. cit., n° 16 ad art. 29 LDIP ).</w:t>
      </w:r>
    </w:p>
    <w:p>
      <w:r>
        <w:rPr>
          <w:b/>
        </w:rPr>
        <w:t>E. 3.5</w:t>
      </w:r>
    </w:p>
    <w:p>
      <w:r>
        <w:t>Le créancier peut notamment requérir la reconnaissance et l'exécution d'un jugement étranger portant condamnation à payer une somme d'argent dans une procédure indépendante ( art. 29 al. 1 et 2 LDIP ) devant le juge de l'exécution ( art. 339 CPC ; MARKUS, op. cit., n. 1420 p. 375 s.; DUTOIT, op. cit., n° 1 ad art. 29 LDIP ). La procédure est contradictoire, la partie qui s'y oppose étant entendue et pouvant faire valoir ses moyens ( art. 29 al. 2 LDIP ; cf. à propos de la reconnaissance d'un jugement de faillite, ATF 139 III 504 consid. 3). La procédure sommaire est applicable ( art. 335 al. 3 CPC en liaison avec l' art. 339 al. 2 CPC , lequel renvoie aux art. 252 ss CPC ). Il ne s'agit nullement d'une procédure gracieuse dans laquelle s'appliquerait la maxime inquisitoire ( art. 255 let. b CPC ).</w:t>
      </w:r>
    </w:p>
    <w:p>
      <w:r>
        <w:rPr>
          <w:b/>
        </w:rPr>
        <w:t>E. 4.1</w:t>
      </w:r>
    </w:p>
    <w:p>
      <w:r>
        <w:t>En l'espèce, il y a divergence, en droit et en fait, sur le point de savoir quel est l'acte introductif d'instance qui devait être notifié conformément aux règles de la CLaH 65.</w:t>
      </w:r>
    </w:p>
    <w:p>
      <w:r>
        <w:rPr>
          <w:b/>
        </w:rPr>
        <w:t>E. 4.1.1</w:t>
      </w:r>
    </w:p>
    <w:p>
      <w:r>
        <w:t>Pour la cour cantonale, il s'agit de la "citation à la première audience", qui est, pour elle, la requête de fixation d'une audience (Motion to set hearing on ex parte proof of damages), envoyée par la voie postale le 9 janvier 2009. A suivre le recourant, il s'agit de la demande de sanctions (Motion for sanctions) du 18 août 2008, notifiée le 10 octobre 2008. Selon la société intimée, il s'agit, comme pour la cour cantonale, de la requête de fixation d'une audience (Motion to set hearing on BGE 142 III 180 S. 188 ex parte proof of damages) du 9 janvier 2009; elle considère que les critiques du recourant tendant à faire admettre qu'il s'agirait de la demande de sanctions (Motion for sanctions) sont appellatoires, formulées pour la première fois devant le Tribunal fédéral, et que la demande de sanctions et l'attestation prouvant sa notification n'ont pas été produites; selon elle, cette requête de fixation d'une audience (Motion to set hearing on ex parte proof of damages) et l'ordonnance de défaut et de fixation d'audience (Order entering default and setting hearing on ex parte proof of damages) qui l'accompagne se rapportent à une procédure spécifique, qui a pour objet de fixer le montant du dommage; la notice qui y est jointe précise qu'un délai de 11 jours est imparti pour proposer des objections; la requête de fixation d'une audience vaut donc acte introductif d'instance et n'est pas valable puisqu'elle a été transmise par pli postal. Quant à l'intimé, il soutient que le demandeur aurait pu et dû produire la demande de sanctions (Motion for sanctions) et que, faute de l'avoir fait, l'état de fait ne peut être complété; le fait que cette demande soit mentionnée dans le jugement n'a pas été allégué et ne suffit pas; la mention de cette demande dans la pièce 126 (Motion to set hearing on ex parte proof of damages) et dans la pièce 3 (jugement) est donc dépourvue de pertinence; le juge américain a fait siennes les allégations du demandeur sans en vérifier l'exactitude. Il soutient que le demandeur n'a pas contesté l'interprétation faite par lui et admise par les juges cantonaux au sujet de la requête de fixation d'une audience (Motion to set hearing on ex parte proof of damages) du 9 janvier, notifiée par voie postale.</w:t>
      </w:r>
    </w:p>
    <w:p>
      <w:r>
        <w:rPr>
          <w:b/>
        </w:rPr>
        <w:t>E. 4.1.2</w:t>
      </w:r>
    </w:p>
    <w:p>
      <w:r>
        <w:t>Il y a lieu de relever tout d'abord que la question de savoir quel est l'acte introductif d'instance est une question de droit, et non de fait. Le Tribunal fédéral l'examine donc librement sur la base des faits constatés ou, en cas d'arbitraire, sur la base de l'état de fait qu'il aura corrigé (art. 97 al. 1 et 105 al. 2 LTF ; 9 Cst. ). Les griefs de la société intimée, selon lesquels le recourant, en prétendant que la demande de sanctions (Motion for sanctions) est l'acte introductif d'instance, se prévaudrait d'un novum et formerait une critique appellatoire reposant sur un état de fait non constaté, sont privées de tout fondement. Contrairement à ce que croient la cour cantonale et les intimés, la "citation régulière à la première audience" au sens de l' art. 27 al. 2 let. a LDIP n'est pas la citation à l'audience du 18 février 2009, mais BGE 142 III 180 S. 189 c'est l'acte introductif d'instance lui-même, soit le premier acte par lequel les défendeurs ont été informés de l'existence d'une procédure ouverte contre eux et de la possibilité qui leur était accordée de faire valoir leurs moyens de défense.</w:t>
      </w:r>
    </w:p>
    <w:p>
      <w:r>
        <w:rPr>
          <w:b/>
        </w:rPr>
        <w:t>E. 4.1.3</w:t>
      </w:r>
    </w:p>
    <w:p>
      <w:r>
        <w:t>Selon le jugement du 9 mars 2009 dont la reconnaissance et l'exécution sont demandées, c'est la demande de sanctions (Motion for sanctions) déposée par le débiteur qui est le fondement de la condamnation des défendeurs à payer conjointement le montant de 1'417'454,43 USD. D'après l'ordonnance de défaut et de citation à l'audience (Order entering default and setting hearing on ex parte proof of damages), signée par le juge des faillites le 22 janvier 2009, c'est parce que les défendeurs n'ont pas répondu à la demande de sanctions (Motion for sanctions) que le défaut a été constaté et qu'une audience a été fixée au 18 février 2009 pour la fixation des dommages-intérêts et d'autres sanctions coercitives. La cour cantonale retient d'ailleurs elle-même que c'est sur la demande de sanctions (Motion for sanctions), formée par le débiteur, que le juge américain devait statuer. Le grief du recourant doit ainsi être admis sur ce point en raison de la contradiction de la constatation de l'autorité cantonale avec les pièces du dossier. En outre, comme le recourant le relève, il y a également appréciation arbitraire des pièces produites sur deux autres points. Tout d'abord, il est évident que, le 9 janvier 2009, le juge des faillites n'a pas rendu et adressé aux défendeurs une "Notice of Motion to set hearing on ex parte proof of damages", puisqu'il résulte clairement de la pièce cotée 126 produite par l'intimé le 4 avril 2013 devant le premier juge qu'il s'agit d'un acte rédigé par l'avocat du demandeur, non signé par le juge américain, auquel sont joints deux actes également rédigés par cet avocat, soit la requête de fixation d'une audience (Motion to set hearing on ex parte proof of damages) et un projet d'ordonnance de défaut et de fixation d'une audience (Order entering default and setting hearing on ex parte proof of damages); ce projet sera d'ailleurs signé par le juge pour valoir ordonnance le 22 janvier 2009. Contrairement à ce qu'a retenu la cour cantonale, la requête de fixation d'une audience (Motion to set hearing on ex parte proof of damages) du 9 janvier 2009 ne saurait donc être l'acte introductif d'instance. Ensuite, il est évident, au vu des pièces 126 et 127 produites par l'intimé le 4 avril 2013, que la citation à comparaître à l'audience du BGE 142 III 180 S. 190 18 février 2009 n'a pas été notifiée par voie postale le 9 janvier 2009, mais bien par la notification de l'ordonnance (Order entering default and setting hearing on ex parte proof of damages) signée par le juge le 22 janvier 2009, notification qui a atteint le défendeur le 30 janvier 2009, mais non la société défenderesse, l'avocat de celle-ci ayant refusé la notification. C'est enfin en violation du droit que la cour cantonale, retenant que les pièces ne lui permettent pas de dire si et comment la demande de sanctions (Motion for sanctions) a été notifiée, se rabat sur un acte ultérieur de la procédure comme acte introductif d'instance.</w:t>
      </w:r>
    </w:p>
    <w:p>
      <w:r>
        <w:rPr>
          <w:b/>
        </w:rPr>
        <w:t>E. 4.2</w:t>
      </w:r>
    </w:p>
    <w:p>
      <w:r>
        <w:t>Il sied désormais d'examiner si la demande de sanctions (Motion for sanctions), qui est l'acte introductif d'instance, a été régulièrement notifiée aux défendeurs.</w:t>
      </w:r>
    </w:p>
    <w:p>
      <w:r>
        <w:rPr>
          <w:b/>
        </w:rPr>
        <w:t>E. 4.2.1</w:t>
      </w:r>
    </w:p>
    <w:p>
      <w:r>
        <w:t>Le recourant soutient que tant l'existence de la demande de sanctions (Motion for sanctions) que la régularité de sa notification selon la CLaH 65 résultent du jugement du 9 mars 2009. Les intimés contestent avoir reçu notification de cette demande.</w:t>
      </w:r>
    </w:p>
    <w:p>
      <w:r>
        <w:rPr>
          <w:b/>
        </w:rPr>
        <w:t>E. 4.2.2</w:t>
      </w:r>
    </w:p>
    <w:p>
      <w:r>
        <w:t>En l'espèce, on est en présence d'un jugement par défaut, puisque les défendeurs n'ont pas participé à l'audience du 18 février 2009, ni à aucune autre audience, et qu'ils n'ont par ailleurs pas répondu à la demande. Le fardeau de la preuve et les exigences de preuve accrues de l' art. 29 al. 1 let . c LDIP sont donc applicables. Il appartenait donc au demandeur à la reconnaissance et à l'exécution du jugement par défaut de produire la demande de sanctions (Motion for sanctions), soit l'acte introductif d'instance, et l'attestation officielle prouvant la notification régulière de celle-ci. Faute d'avoir produit ces deux documents, le recourant n'a pas prouvé à satisfaction de droit que les défendeurs ont été cités régulièrement. Le fait que l'ordonnance du 22 janvier 2009 mentionne que la demande de sanctions aurait été notifiée le 10 octobre 2008 et que le jugement du 9 mars 2009 indique que la notification serait conforme à la CLaH 65 ne suffisent pas au regard de l' art. 29 al. 1 let . c LDIP. Au demeurant, quoi qu'en pense le recourant, la procédure de reconnaissance et d'exécution n'est pas gracieuse, de sorte que le tribunal n'avait pas à instruire d'office la cause. En dépit des affirmations contraires du recourant, il n'est pas possible non plus, au regard des dispositions de la LDIP, de considérer qu'il suffit que les défendeurs aient eu de quelque manière BGE 142 III 180 S. 191 connaissance de l'instance introduite contre eux et de la possibilité de se présenter à l'audience contradictoire ultérieure. Comme on l'a vu, contrairement à l' art. 34 par. 2 CL , la LDIP exige la notification régulière selon les règles applicables au domicile du destinataire et on ne saurait s'écarter de ces exigences. Quant à l' ATF 122 III 439 , qui a retenu qu'il n'est pas arbitraire de reconnaître un jugement étranger malgré l'absence de preuve de la notification lorsque le défendeur a eu connaissance autrement de l'instance introduite contre lui et qu'il aurait en outre pu se présenter à une audience contradictoire ultérieure, il a été rendu sur recours de droit public; or, dans un tel recours, le Tribunal fédéral ne recherche pas quelle est l'interprétation correcte que la cour cantonale aurait dû donner à la disposition légale litigieuse, mais il se borne à dire si l'interprétation qui en a été faite est défendable ( ATF 113 Ia 17 consid. 3a). Partant, cet arrêt est sans pertinence dans le cadre du présent recours en matière civile, le Tribunal fédéral disposant dans celui-ci d'une pleine cognition en droit. Le grief de formalisme excessif invoqué par le recourant est également infondé. Il s'ensuit que la demande de reconnaissance et d'exécution du jugement américain du 9 mars 2009 devait être rejetée. Il n'est donc pas nécessaire de se prononcer sur l'absence d'allégués dans la demande au sujet de l'acte introductif d'instance et sa notification. En définitive, le recours en matière civile doit être rejeté, par substitution des motifs qui précèdent.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